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E" w:rsidRDefault="00E2787E" w:rsidP="00E2787E">
      <w:pPr>
        <w:autoSpaceDE w:val="0"/>
        <w:autoSpaceDN w:val="0"/>
        <w:adjustRightInd w:val="0"/>
        <w:spacing w:after="0" w:line="240" w:lineRule="auto"/>
        <w:jc w:val="center"/>
        <w:rPr>
          <w:rFonts w:ascii="CenturyGothic,Bold" w:hAnsi="CenturyGothic,Bold" w:cs="CenturyGothic,Bold"/>
          <w:b/>
          <w:bCs/>
          <w:sz w:val="56"/>
          <w:szCs w:val="56"/>
        </w:rPr>
      </w:pPr>
      <w:r>
        <w:rPr>
          <w:rFonts w:ascii="CenturyGothic,Bold" w:hAnsi="CenturyGothic,Bold" w:cs="CenturyGothic,Bold"/>
          <w:b/>
          <w:bCs/>
          <w:noProof/>
          <w:sz w:val="56"/>
          <w:szCs w:val="56"/>
          <w:lang w:eastAsia="fr-BE"/>
        </w:rPr>
        <w:drawing>
          <wp:inline distT="0" distB="0" distL="0" distR="0">
            <wp:extent cx="5786327" cy="3550785"/>
            <wp:effectExtent l="19050" t="0" r="4873" b="0"/>
            <wp:docPr id="1" name="Image 1" descr="C:\Users\Senat\Documents\ID 2015\LogoI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t\Documents\ID 2015\LogoID_2015.jpg"/>
                    <pic:cNvPicPr>
                      <a:picLocks noChangeAspect="1" noChangeArrowheads="1"/>
                    </pic:cNvPicPr>
                  </pic:nvPicPr>
                  <pic:blipFill>
                    <a:blip r:embed="rId7" cstate="print"/>
                    <a:srcRect/>
                    <a:stretch>
                      <a:fillRect/>
                    </a:stretch>
                  </pic:blipFill>
                  <pic:spPr bwMode="auto">
                    <a:xfrm>
                      <a:off x="0" y="0"/>
                      <a:ext cx="5813542" cy="3567485"/>
                    </a:xfrm>
                    <a:prstGeom prst="rect">
                      <a:avLst/>
                    </a:prstGeom>
                    <a:noFill/>
                    <a:ln w="9525">
                      <a:noFill/>
                      <a:miter lim="800000"/>
                      <a:headEnd/>
                      <a:tailEnd/>
                    </a:ln>
                  </pic:spPr>
                </pic:pic>
              </a:graphicData>
            </a:graphic>
          </wp:inline>
        </w:drawing>
      </w:r>
    </w:p>
    <w:p w:rsidR="00E2787E" w:rsidRDefault="00E2787E" w:rsidP="00E2787E">
      <w:pPr>
        <w:autoSpaceDE w:val="0"/>
        <w:autoSpaceDN w:val="0"/>
        <w:adjustRightInd w:val="0"/>
        <w:spacing w:after="0" w:line="240" w:lineRule="auto"/>
        <w:jc w:val="center"/>
        <w:rPr>
          <w:rFonts w:ascii="CenturyGothic,Bold" w:hAnsi="CenturyGothic,Bold" w:cs="CenturyGothic,Bold"/>
          <w:b/>
          <w:bCs/>
          <w:sz w:val="56"/>
          <w:szCs w:val="56"/>
        </w:rPr>
      </w:pPr>
    </w:p>
    <w:p w:rsidR="00E2787E" w:rsidRPr="00A46C44" w:rsidRDefault="00E2787E" w:rsidP="00E2787E">
      <w:pPr>
        <w:autoSpaceDE w:val="0"/>
        <w:autoSpaceDN w:val="0"/>
        <w:adjustRightInd w:val="0"/>
        <w:spacing w:after="0" w:line="240" w:lineRule="auto"/>
        <w:jc w:val="center"/>
        <w:rPr>
          <w:rFonts w:ascii="CenturyGothic,Bold" w:hAnsi="CenturyGothic,Bold" w:cs="CenturyGothic,Bold"/>
          <w:b/>
          <w:bCs/>
          <w:caps/>
          <w:sz w:val="56"/>
          <w:szCs w:val="56"/>
        </w:rPr>
      </w:pPr>
      <w:r w:rsidRPr="00A46C44">
        <w:rPr>
          <w:rFonts w:ascii="CenturyGothic,Bold" w:hAnsi="CenturyGothic,Bold" w:cs="CenturyGothic,Bold"/>
          <w:b/>
          <w:bCs/>
          <w:caps/>
          <w:sz w:val="56"/>
          <w:szCs w:val="56"/>
        </w:rPr>
        <w:t xml:space="preserve">Appel de liège </w:t>
      </w:r>
    </w:p>
    <w:p w:rsidR="00E2787E" w:rsidRDefault="00E2787E" w:rsidP="00E2787E">
      <w:pPr>
        <w:autoSpaceDE w:val="0"/>
        <w:autoSpaceDN w:val="0"/>
        <w:adjustRightInd w:val="0"/>
        <w:spacing w:after="0" w:line="240" w:lineRule="auto"/>
        <w:jc w:val="center"/>
        <w:rPr>
          <w:rFonts w:ascii="CenturyGothic,Bold" w:hAnsi="CenturyGothic,Bold" w:cs="CenturyGothic,Bold"/>
          <w:b/>
          <w:bCs/>
          <w:sz w:val="56"/>
          <w:szCs w:val="56"/>
        </w:rPr>
      </w:pPr>
    </w:p>
    <w:p w:rsidR="00E2787E" w:rsidRDefault="00E2787E" w:rsidP="00E2787E">
      <w:pPr>
        <w:autoSpaceDE w:val="0"/>
        <w:autoSpaceDN w:val="0"/>
        <w:adjustRightInd w:val="0"/>
        <w:spacing w:after="0" w:line="240" w:lineRule="auto"/>
        <w:jc w:val="center"/>
        <w:rPr>
          <w:rFonts w:ascii="CenturyGothic,Bold" w:hAnsi="CenturyGothic,Bold" w:cs="CenturyGothic,Bold"/>
          <w:b/>
          <w:bCs/>
          <w:sz w:val="56"/>
          <w:szCs w:val="56"/>
        </w:rPr>
      </w:pPr>
    </w:p>
    <w:tbl>
      <w:tblPr>
        <w:tblStyle w:val="Grilledutableau"/>
        <w:tblW w:w="0" w:type="auto"/>
        <w:jc w:val="center"/>
        <w:tblLook w:val="04A0"/>
      </w:tblPr>
      <w:tblGrid>
        <w:gridCol w:w="9212"/>
      </w:tblGrid>
      <w:tr w:rsidR="00E2787E" w:rsidRPr="001C6CFD" w:rsidTr="003C66E4">
        <w:trPr>
          <w:jc w:val="center"/>
        </w:trPr>
        <w:tc>
          <w:tcPr>
            <w:tcW w:w="9212" w:type="dxa"/>
          </w:tcPr>
          <w:p w:rsidR="00E2787E" w:rsidRPr="00B55967" w:rsidRDefault="00E2787E" w:rsidP="003C66E4">
            <w:pPr>
              <w:autoSpaceDE w:val="0"/>
              <w:autoSpaceDN w:val="0"/>
              <w:adjustRightInd w:val="0"/>
              <w:jc w:val="center"/>
              <w:rPr>
                <w:rFonts w:ascii="CenturyGothic,Bold" w:hAnsi="CenturyGothic,Bold" w:cs="CenturyGothic,Bold"/>
                <w:b/>
                <w:bCs/>
                <w:sz w:val="76"/>
                <w:szCs w:val="76"/>
              </w:rPr>
            </w:pPr>
            <w:r w:rsidRPr="00B55967">
              <w:rPr>
                <w:rFonts w:ascii="CenturyGothic,Bold" w:hAnsi="CenturyGothic,Bold" w:cs="CenturyGothic,Bold"/>
                <w:b/>
                <w:bCs/>
                <w:sz w:val="76"/>
                <w:szCs w:val="76"/>
              </w:rPr>
              <w:t xml:space="preserve">Demande des réformes </w:t>
            </w:r>
          </w:p>
          <w:p w:rsidR="00E2787E" w:rsidRPr="001C6CFD" w:rsidRDefault="00E2787E" w:rsidP="003C66E4">
            <w:pPr>
              <w:autoSpaceDE w:val="0"/>
              <w:autoSpaceDN w:val="0"/>
              <w:adjustRightInd w:val="0"/>
              <w:jc w:val="center"/>
              <w:rPr>
                <w:rFonts w:ascii="CenturyGothic,Bold" w:hAnsi="CenturyGothic,Bold" w:cs="CenturyGothic,Bold"/>
                <w:b/>
                <w:bCs/>
                <w:sz w:val="48"/>
                <w:szCs w:val="48"/>
              </w:rPr>
            </w:pPr>
            <w:r w:rsidRPr="001C6CFD">
              <w:rPr>
                <w:rFonts w:ascii="CenturyGothic,Bold" w:hAnsi="CenturyGothic,Bold" w:cs="CenturyGothic,Bold"/>
                <w:b/>
                <w:bCs/>
                <w:sz w:val="48"/>
                <w:szCs w:val="48"/>
              </w:rPr>
              <w:t xml:space="preserve">institutionnelles et constitutionnelles </w:t>
            </w:r>
          </w:p>
          <w:p w:rsidR="00E2787E" w:rsidRPr="00B55967" w:rsidRDefault="00E2787E" w:rsidP="003C66E4">
            <w:pPr>
              <w:autoSpaceDE w:val="0"/>
              <w:autoSpaceDN w:val="0"/>
              <w:adjustRightInd w:val="0"/>
              <w:jc w:val="center"/>
              <w:rPr>
                <w:rFonts w:ascii="CenturyGothic,Bold" w:hAnsi="CenturyGothic,Bold" w:cs="CenturyGothic,Bold"/>
                <w:b/>
                <w:bCs/>
                <w:sz w:val="60"/>
                <w:szCs w:val="60"/>
              </w:rPr>
            </w:pPr>
            <w:r w:rsidRPr="00B55967">
              <w:rPr>
                <w:rFonts w:ascii="CenturyGothic,Bold" w:hAnsi="CenturyGothic,Bold" w:cs="CenturyGothic,Bold"/>
                <w:b/>
                <w:bCs/>
                <w:sz w:val="60"/>
                <w:szCs w:val="60"/>
              </w:rPr>
              <w:t>avant l’élection présidentielle</w:t>
            </w:r>
          </w:p>
        </w:tc>
      </w:tr>
    </w:tbl>
    <w:p w:rsidR="00E2787E" w:rsidRDefault="00E2787E" w:rsidP="00E2787E">
      <w:pPr>
        <w:autoSpaceDE w:val="0"/>
        <w:autoSpaceDN w:val="0"/>
        <w:adjustRightInd w:val="0"/>
        <w:spacing w:after="0" w:line="240" w:lineRule="auto"/>
        <w:jc w:val="center"/>
        <w:rPr>
          <w:rFonts w:ascii="CenturyGothic,Bold" w:hAnsi="CenturyGothic,Bold" w:cs="CenturyGothic,Bold"/>
          <w:b/>
          <w:bCs/>
          <w:sz w:val="56"/>
          <w:szCs w:val="56"/>
        </w:rPr>
      </w:pPr>
    </w:p>
    <w:p w:rsidR="00E2787E" w:rsidRPr="00787AB1" w:rsidRDefault="00E2787E" w:rsidP="00E2787E">
      <w:pPr>
        <w:autoSpaceDE w:val="0"/>
        <w:autoSpaceDN w:val="0"/>
        <w:adjustRightInd w:val="0"/>
        <w:spacing w:after="0" w:line="240" w:lineRule="auto"/>
        <w:jc w:val="center"/>
        <w:rPr>
          <w:rFonts w:ascii="CenturyGothic,Bold" w:hAnsi="CenturyGothic,Bold" w:cs="CenturyGothic,Bold"/>
          <w:b/>
          <w:bCs/>
          <w:sz w:val="40"/>
          <w:szCs w:val="40"/>
        </w:rPr>
      </w:pPr>
    </w:p>
    <w:p w:rsidR="00E2787E" w:rsidRDefault="00E2787E" w:rsidP="00E2787E">
      <w:pPr>
        <w:autoSpaceDE w:val="0"/>
        <w:autoSpaceDN w:val="0"/>
        <w:adjustRightInd w:val="0"/>
        <w:spacing w:after="0" w:line="240" w:lineRule="auto"/>
        <w:jc w:val="center"/>
        <w:rPr>
          <w:rFonts w:ascii="CenturyGothic,Bold" w:hAnsi="CenturyGothic,Bold" w:cs="CenturyGothic,Bold"/>
          <w:b/>
          <w:bCs/>
        </w:rPr>
      </w:pPr>
    </w:p>
    <w:p w:rsidR="00E2787E" w:rsidRDefault="00E2787E" w:rsidP="00E2787E">
      <w:pPr>
        <w:autoSpaceDE w:val="0"/>
        <w:autoSpaceDN w:val="0"/>
        <w:adjustRightInd w:val="0"/>
        <w:spacing w:after="0" w:line="240" w:lineRule="auto"/>
        <w:jc w:val="center"/>
        <w:rPr>
          <w:rFonts w:ascii="CenturyGothic,Bold" w:hAnsi="CenturyGothic,Bold" w:cs="CenturyGothic,Bold"/>
          <w:b/>
          <w:bCs/>
        </w:rPr>
      </w:pPr>
    </w:p>
    <w:p w:rsidR="00E2787E" w:rsidRPr="001249B7" w:rsidRDefault="00E2787E" w:rsidP="00E2787E">
      <w:pPr>
        <w:autoSpaceDE w:val="0"/>
        <w:autoSpaceDN w:val="0"/>
        <w:adjustRightInd w:val="0"/>
        <w:spacing w:after="0" w:line="240" w:lineRule="auto"/>
        <w:rPr>
          <w:rFonts w:ascii="CenturyGothic,Bold" w:hAnsi="CenturyGothic,Bold" w:cs="CenturyGothic,Bold"/>
          <w:b/>
          <w:bCs/>
          <w:sz w:val="28"/>
          <w:szCs w:val="28"/>
        </w:rPr>
      </w:pPr>
    </w:p>
    <w:p w:rsidR="00E2787E" w:rsidRPr="00A46C44" w:rsidRDefault="00E2787E" w:rsidP="00E2787E">
      <w:pPr>
        <w:autoSpaceDE w:val="0"/>
        <w:autoSpaceDN w:val="0"/>
        <w:adjustRightInd w:val="0"/>
        <w:spacing w:after="0" w:line="240" w:lineRule="auto"/>
        <w:jc w:val="center"/>
        <w:rPr>
          <w:rFonts w:ascii="CenturyGothic,Bold" w:hAnsi="CenturyGothic,Bold" w:cs="CenturyGothic,Bold"/>
          <w:b/>
          <w:bCs/>
          <w:caps/>
          <w:sz w:val="28"/>
          <w:szCs w:val="28"/>
        </w:rPr>
      </w:pPr>
      <w:r w:rsidRPr="00A46C44">
        <w:rPr>
          <w:rFonts w:ascii="CenturyGothic,Bold" w:hAnsi="CenturyGothic,Bold" w:cs="CenturyGothic,Bold"/>
          <w:b/>
          <w:bCs/>
          <w:caps/>
          <w:sz w:val="28"/>
          <w:szCs w:val="28"/>
        </w:rPr>
        <w:t>Initiative diaspora 2015 (id2015)</w:t>
      </w:r>
    </w:p>
    <w:p w:rsidR="00E2787E" w:rsidRPr="00A46C44" w:rsidRDefault="00E2787E" w:rsidP="00E2787E">
      <w:pPr>
        <w:autoSpaceDE w:val="0"/>
        <w:autoSpaceDN w:val="0"/>
        <w:adjustRightInd w:val="0"/>
        <w:spacing w:after="0" w:line="240" w:lineRule="auto"/>
        <w:jc w:val="center"/>
        <w:rPr>
          <w:rFonts w:ascii="CenturyGothic,Bold" w:hAnsi="CenturyGothic,Bold" w:cs="CenturyGothic,Bold"/>
          <w:b/>
          <w:bCs/>
          <w:caps/>
          <w:sz w:val="36"/>
          <w:szCs w:val="28"/>
        </w:rPr>
      </w:pPr>
    </w:p>
    <w:p w:rsidR="00E2787E" w:rsidRDefault="00E2787E" w:rsidP="00E2787E">
      <w:pPr>
        <w:autoSpaceDE w:val="0"/>
        <w:autoSpaceDN w:val="0"/>
        <w:adjustRightInd w:val="0"/>
        <w:spacing w:after="0" w:line="240" w:lineRule="auto"/>
        <w:jc w:val="center"/>
        <w:rPr>
          <w:rFonts w:ascii="CenturyGothic,Bold" w:hAnsi="CenturyGothic,Bold" w:cs="CenturyGothic,Bold"/>
          <w:b/>
          <w:bCs/>
          <w:sz w:val="28"/>
          <w:szCs w:val="28"/>
        </w:rPr>
      </w:pPr>
    </w:p>
    <w:p w:rsidR="00E2787E" w:rsidRPr="00F066DF" w:rsidRDefault="00E2787E" w:rsidP="00E2787E">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Liège, le 25 Octobre 2014</w:t>
      </w:r>
    </w:p>
    <w:p w:rsidR="00E2787E" w:rsidRPr="00C833E1" w:rsidRDefault="00E2787E" w:rsidP="00E2787E">
      <w:pPr>
        <w:autoSpaceDE w:val="0"/>
        <w:autoSpaceDN w:val="0"/>
        <w:adjustRightInd w:val="0"/>
        <w:spacing w:after="0" w:line="240" w:lineRule="auto"/>
        <w:rPr>
          <w:rFonts w:ascii="CenturyGothic,Bold" w:hAnsi="CenturyGothic,Bold" w:cs="CenturyGothic,Bold"/>
          <w:b/>
          <w:bCs/>
        </w:rPr>
      </w:pPr>
      <w:r w:rsidRPr="00C833E1">
        <w:rPr>
          <w:rFonts w:ascii="Arial Narrow" w:hAnsi="Arial Narrow"/>
          <w:lang w:val="fr-FR"/>
        </w:rPr>
        <w:lastRenderedPageBreak/>
        <w:t>Monsieur le Président de la République togolaise,</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Monsieur le Premier Ministre,</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Monsieur le Président de l’Assemblée nationale,</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Messieurs/Mesdames les responsables de partis politiques,</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Messieurs/Mesdames les représentants des confessions religieuses du Togo</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 xml:space="preserve">Messieurs/Mesdames les Ambassadeurs du G5 au Togo, </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 xml:space="preserve">Monsieur le Président de la Commission de la CEDEAO, </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Madame la Présidente de la Commission de l’Union Africaine,</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Monsieur le Président de la Commission européenne,</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Monsieur le Président du Parlement européen,</w:t>
      </w:r>
    </w:p>
    <w:p w:rsidR="00E2787E" w:rsidRPr="00C833E1" w:rsidRDefault="00E2787E" w:rsidP="00E2787E">
      <w:pPr>
        <w:spacing w:after="0" w:line="240" w:lineRule="auto"/>
        <w:jc w:val="both"/>
        <w:rPr>
          <w:rFonts w:ascii="Arial Narrow" w:hAnsi="Arial Narrow"/>
          <w:lang w:val="fr-FR"/>
        </w:rPr>
      </w:pPr>
      <w:r w:rsidRPr="00C833E1">
        <w:rPr>
          <w:rFonts w:ascii="Arial Narrow" w:hAnsi="Arial Narrow"/>
          <w:lang w:val="fr-FR"/>
        </w:rPr>
        <w:t>Monsieur le Secrétaire général de l’ONU,</w:t>
      </w:r>
    </w:p>
    <w:p w:rsidR="00E2787E" w:rsidRPr="00C833E1" w:rsidRDefault="00E2787E" w:rsidP="00E2787E">
      <w:pPr>
        <w:spacing w:after="0" w:line="240" w:lineRule="auto"/>
        <w:jc w:val="both"/>
        <w:rPr>
          <w:rFonts w:ascii="Arial Narrow" w:hAnsi="Arial Narrow"/>
          <w:lang w:val="fr-FR"/>
        </w:rPr>
      </w:pPr>
    </w:p>
    <w:p w:rsidR="00E2787E" w:rsidRPr="00C833E1" w:rsidRDefault="00E2787E" w:rsidP="00E2787E">
      <w:pPr>
        <w:spacing w:after="0" w:line="240" w:lineRule="auto"/>
        <w:jc w:val="both"/>
        <w:rPr>
          <w:rFonts w:ascii="Arial Narrow" w:hAnsi="Arial Narrow"/>
          <w:lang w:val="fr-FR"/>
        </w:rPr>
      </w:pPr>
    </w:p>
    <w:p w:rsidR="00E2787E" w:rsidRPr="002A2A37" w:rsidRDefault="00E2787E" w:rsidP="00E2787E">
      <w:pPr>
        <w:pStyle w:val="Sansinterligne"/>
        <w:jc w:val="both"/>
        <w:rPr>
          <w:rFonts w:ascii="Arial Narrow" w:hAnsi="Arial Narrow"/>
          <w:b/>
        </w:rPr>
      </w:pPr>
      <w:r w:rsidRPr="002A2A37">
        <w:rPr>
          <w:rFonts w:ascii="Arial Narrow" w:hAnsi="Arial Narrow"/>
          <w:b/>
          <w:lang w:val="fr-FR"/>
        </w:rPr>
        <w:t xml:space="preserve">Réunis à Liège en Belgique ce 25 Octobre 2014, </w:t>
      </w:r>
      <w:r w:rsidRPr="002A2A37">
        <w:rPr>
          <w:rFonts w:ascii="Arial Narrow" w:hAnsi="Arial Narrow"/>
          <w:b/>
        </w:rPr>
        <w:t>nous, citoyens togolais vivant à l’étranger, faisons les constats suivants :</w:t>
      </w:r>
    </w:p>
    <w:p w:rsidR="00E2787E" w:rsidRPr="00C833E1" w:rsidRDefault="00E2787E" w:rsidP="00E2787E">
      <w:pPr>
        <w:pStyle w:val="Sansinterligne"/>
        <w:jc w:val="both"/>
        <w:rPr>
          <w:rFonts w:ascii="Arial Narrow" w:hAnsi="Arial Narrow"/>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 xml:space="preserve">La détérioration préoccupante du climat politique </w:t>
      </w:r>
      <w:r>
        <w:rPr>
          <w:rFonts w:ascii="Arial Narrow" w:eastAsiaTheme="minorHAnsi" w:hAnsi="Arial Narrow" w:cstheme="minorBidi"/>
        </w:rPr>
        <w:t>accentuée par</w:t>
      </w:r>
      <w:r w:rsidRPr="00C833E1">
        <w:rPr>
          <w:rFonts w:ascii="Arial Narrow" w:eastAsiaTheme="minorHAnsi" w:hAnsi="Arial Narrow" w:cstheme="minorBidi"/>
        </w:rPr>
        <w:t xml:space="preserve"> l’échec des discussions sur la mise en œuvre effective des réformes constitutionnelles et institutionnelles destinées à garantir la transparence et l’équité des processus électoraux au Togo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Les élections au Togo ont toujours été marquées par des irrégularités et dysfonctionnements entraînant des contestations des résultats, des manifestations populaires, des répressions et des violations graves des droits de l’Homme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Les principaux engagements pris par le gouvernement togolais le 14 avril 2004 aux termes des consultations de l’Union européenne avec le Togo au titre de l'article 96 de l'accord de Cotonou et destinés à renforcer le climat démocratique et l’Etat de droit n’ont toujours par été honorés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 xml:space="preserve">Les principales recommandations de l’Accord politique global (APG) signé le 20 août 2006 entre le gouvernement togolais, les forces politiques et la société civile pour </w:t>
      </w:r>
      <w:r>
        <w:rPr>
          <w:rFonts w:ascii="Arial Narrow" w:eastAsiaTheme="minorHAnsi" w:hAnsi="Arial Narrow" w:cstheme="minorBidi"/>
        </w:rPr>
        <w:t>promouvoir</w:t>
      </w:r>
      <w:r w:rsidRPr="00C833E1">
        <w:rPr>
          <w:rFonts w:ascii="Arial Narrow" w:eastAsiaTheme="minorHAnsi" w:hAnsi="Arial Narrow" w:cstheme="minorBidi"/>
        </w:rPr>
        <w:t xml:space="preserve"> la transparence et garantir l’équité des processus électoraux ne sont toujours pas mises en œuvre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 xml:space="preserve">Les recommandations des missions d’observations électorales internationales (UA, UE, CEDEAO, OIF, etc.) et des ONGs nationales (HCDH, CNDH, etc.) lors des scrutins antérieurs n’ont toujours pas été prises en compte pour l’organisation de l’élection présidentielle prévue en 2015 ;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Les conclusions et recommandations formulées le 29 août 2005 par l’ONU au lendemain des graves violations des droits de l’Homme survenue au Togo lors de l’élection présidentielle ayant porté l’actuel Président au pouvoir sont restées sans réponses concrètes de la part des autorités togolaises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 xml:space="preserve">Les conclusions et recommandations de la Commission Justice Vérité Réconciliation (CVJR) rendues publiques le 3 avril 2012 n’ont fait - jusqu’à ce jour - l’objet d’aucune mesure concrète pour éviter la répétition des violences à caractère politique ayant souvent marqué les élections au Togo ;    </w:t>
      </w:r>
    </w:p>
    <w:p w:rsidR="00E2787E" w:rsidRPr="00C833E1" w:rsidRDefault="00E2787E" w:rsidP="00E2787E">
      <w:pPr>
        <w:pStyle w:val="Sansinterligne"/>
        <w:ind w:left="720"/>
        <w:jc w:val="both"/>
        <w:rPr>
          <w:rFonts w:ascii="Arial Narrow" w:eastAsiaTheme="minorHAnsi" w:hAnsi="Arial Narrow" w:cstheme="minorBidi"/>
        </w:rPr>
      </w:pPr>
    </w:p>
    <w:p w:rsidR="00E2787E" w:rsidRPr="00C833E1" w:rsidRDefault="00E2787E" w:rsidP="00E2787E">
      <w:pPr>
        <w:pStyle w:val="Sansinterligne"/>
        <w:numPr>
          <w:ilvl w:val="0"/>
          <w:numId w:val="4"/>
        </w:numPr>
        <w:jc w:val="both"/>
        <w:rPr>
          <w:rFonts w:ascii="Arial Narrow" w:eastAsiaTheme="minorHAnsi" w:hAnsi="Arial Narrow" w:cstheme="minorBidi"/>
        </w:rPr>
      </w:pPr>
      <w:r w:rsidRPr="00C833E1">
        <w:rPr>
          <w:rFonts w:ascii="Arial Narrow" w:eastAsiaTheme="minorHAnsi" w:hAnsi="Arial Narrow" w:cstheme="minorBidi"/>
        </w:rPr>
        <w:t>L’absence de réaction du gouvernement togolais à l’appel aux réformes lancé par les églises du Togo le 1er octobre 2014 et soutenu par le Groupe des 5 (l’Union Européenne, les Chefs de mission des États membres de l’UE au Togo, l’Ambassadeur des USA et la Coordinatrice résidente de l’ONU)</w:t>
      </w:r>
    </w:p>
    <w:p w:rsidR="00E2787E" w:rsidRPr="00C833E1" w:rsidRDefault="00E2787E" w:rsidP="00E2787E">
      <w:pPr>
        <w:pStyle w:val="Paragraphedeliste"/>
        <w:rPr>
          <w:rFonts w:ascii="Arial Narrow" w:hAnsi="Arial Narrow"/>
        </w:rPr>
      </w:pPr>
    </w:p>
    <w:p w:rsidR="00E2787E" w:rsidRPr="00245C47" w:rsidRDefault="00E2787E" w:rsidP="00E2787E">
      <w:pPr>
        <w:autoSpaceDE w:val="0"/>
        <w:autoSpaceDN w:val="0"/>
        <w:adjustRightInd w:val="0"/>
        <w:spacing w:after="0" w:line="240" w:lineRule="auto"/>
        <w:jc w:val="both"/>
        <w:rPr>
          <w:rFonts w:ascii="Arial Narrow" w:eastAsia="Calibri" w:hAnsi="Arial Narrow" w:cs="Times New Roman"/>
          <w:b/>
        </w:rPr>
      </w:pPr>
      <w:r w:rsidRPr="00245C47">
        <w:rPr>
          <w:rFonts w:ascii="Arial Narrow" w:eastAsia="Calibri" w:hAnsi="Arial Narrow" w:cs="Times New Roman"/>
          <w:b/>
        </w:rPr>
        <w:t>Au regard de ce qui précède, nous Togolais la diaspora regroupés au sein de l’Initiative Diaspora 2015 (ID2015), faisons la déclaration suivante :</w:t>
      </w:r>
    </w:p>
    <w:p w:rsidR="00E2787E" w:rsidRPr="00C833E1" w:rsidRDefault="00E2787E" w:rsidP="00E2787E">
      <w:pPr>
        <w:rPr>
          <w:rFonts w:ascii="Arial Narrow" w:hAnsi="Arial Narrow"/>
        </w:rPr>
      </w:pPr>
    </w:p>
    <w:p w:rsidR="00E2787E" w:rsidRPr="00C833E1" w:rsidRDefault="00E2787E" w:rsidP="00E2787E">
      <w:pPr>
        <w:pStyle w:val="Sansinterligne"/>
        <w:numPr>
          <w:ilvl w:val="0"/>
          <w:numId w:val="4"/>
        </w:numPr>
        <w:jc w:val="both"/>
        <w:rPr>
          <w:rFonts w:ascii="Arial Narrow" w:hAnsi="Arial Narrow"/>
        </w:rPr>
      </w:pPr>
      <w:r w:rsidRPr="00C833E1">
        <w:rPr>
          <w:rFonts w:ascii="Arial Narrow" w:hAnsi="Arial Narrow"/>
        </w:rPr>
        <w:t>Exprimons nos vives inquiétudes face à la détérioration constante du climat politique, du pouvoir d’achat économique et du bien-être social au Togo ;</w:t>
      </w:r>
    </w:p>
    <w:p w:rsidR="00E2787E" w:rsidRDefault="00E2787E" w:rsidP="00E2787E">
      <w:pPr>
        <w:pStyle w:val="Sansinterligne"/>
        <w:numPr>
          <w:ilvl w:val="0"/>
          <w:numId w:val="4"/>
        </w:numPr>
        <w:jc w:val="both"/>
        <w:rPr>
          <w:rFonts w:ascii="Arial Narrow" w:hAnsi="Arial Narrow"/>
        </w:rPr>
      </w:pPr>
      <w:r w:rsidRPr="00C833E1">
        <w:rPr>
          <w:rFonts w:ascii="Arial Narrow" w:hAnsi="Arial Narrow"/>
        </w:rPr>
        <w:lastRenderedPageBreak/>
        <w:t>Apportons notre soutien indéfectible à l’impérieuse nécessité de rouvrir sans délais des discussions politiques afin de convenir des modalités de mise en œuvre effective des réformes pouvant garantir la transparence et l’équité du processus électoral ;</w:t>
      </w:r>
    </w:p>
    <w:p w:rsidR="006E0D1A" w:rsidRPr="00950548" w:rsidRDefault="006E0D1A" w:rsidP="006E0D1A">
      <w:pPr>
        <w:pStyle w:val="Sansinterligne"/>
        <w:ind w:left="720"/>
        <w:jc w:val="both"/>
        <w:rPr>
          <w:rFonts w:ascii="Arial Narrow" w:hAnsi="Arial Narrow"/>
        </w:rPr>
      </w:pPr>
    </w:p>
    <w:p w:rsidR="00E2787E" w:rsidRDefault="00E2787E" w:rsidP="00E2787E">
      <w:pPr>
        <w:pStyle w:val="Sansinterligne"/>
        <w:numPr>
          <w:ilvl w:val="0"/>
          <w:numId w:val="4"/>
        </w:numPr>
        <w:jc w:val="both"/>
        <w:rPr>
          <w:rFonts w:ascii="Arial Narrow" w:hAnsi="Arial Narrow"/>
        </w:rPr>
      </w:pPr>
      <w:r w:rsidRPr="00C833E1">
        <w:rPr>
          <w:rFonts w:ascii="Arial Narrow" w:eastAsiaTheme="minorHAnsi" w:hAnsi="Arial Narrow" w:cstheme="minorBidi"/>
        </w:rPr>
        <w:t xml:space="preserve">Demandons </w:t>
      </w:r>
      <w:r w:rsidRPr="00C833E1">
        <w:rPr>
          <w:rFonts w:ascii="Arial Narrow" w:hAnsi="Arial Narrow"/>
        </w:rPr>
        <w:t>à la classe politique (tant du parti au pouvoir que de l’opposition) de faire preuve de courage politique, de clairvoyance et de responsabilité pour éviter d’aggraver la crise politique avec son corolaire de misère abyssale dans laquelle les braves populations sont plongées et maintenues depuis quelques décennies ;</w:t>
      </w:r>
    </w:p>
    <w:p w:rsidR="006E0D1A" w:rsidRPr="00C833E1" w:rsidRDefault="006E0D1A" w:rsidP="006E0D1A">
      <w:pPr>
        <w:pStyle w:val="Sansinterligne"/>
        <w:jc w:val="both"/>
        <w:rPr>
          <w:rFonts w:ascii="Arial Narrow" w:hAnsi="Arial Narrow"/>
        </w:rPr>
      </w:pPr>
    </w:p>
    <w:p w:rsidR="00E2787E" w:rsidRDefault="00E2787E" w:rsidP="00E2787E">
      <w:pPr>
        <w:pStyle w:val="Sansinterligne"/>
        <w:numPr>
          <w:ilvl w:val="0"/>
          <w:numId w:val="4"/>
        </w:numPr>
        <w:jc w:val="both"/>
        <w:rPr>
          <w:rFonts w:ascii="Arial Narrow" w:hAnsi="Arial Narrow"/>
          <w:szCs w:val="24"/>
        </w:rPr>
      </w:pPr>
      <w:r w:rsidRPr="00C833E1">
        <w:rPr>
          <w:rFonts w:ascii="Arial Narrow" w:hAnsi="Arial Narrow"/>
          <w:szCs w:val="24"/>
        </w:rPr>
        <w:t>Interpellons l’opposition quant à la nécessité de se fédérer autour d’une personnalité qui la représentera, de bâtir dès à présent un projet comment devant formaliser et gouverner cette démarche unitaire ;</w:t>
      </w:r>
    </w:p>
    <w:p w:rsidR="006E0D1A" w:rsidRPr="00C833E1" w:rsidRDefault="006E0D1A" w:rsidP="006E0D1A">
      <w:pPr>
        <w:pStyle w:val="Sansinterligne"/>
        <w:jc w:val="both"/>
        <w:rPr>
          <w:rFonts w:ascii="Arial Narrow" w:hAnsi="Arial Narrow"/>
          <w:szCs w:val="24"/>
        </w:rPr>
      </w:pPr>
    </w:p>
    <w:p w:rsidR="00E2787E" w:rsidRPr="00C833E1" w:rsidRDefault="00E2787E" w:rsidP="00E2787E">
      <w:pPr>
        <w:pStyle w:val="Sansinterligne"/>
        <w:numPr>
          <w:ilvl w:val="0"/>
          <w:numId w:val="4"/>
        </w:numPr>
        <w:jc w:val="both"/>
        <w:rPr>
          <w:rFonts w:ascii="Arial Narrow" w:hAnsi="Arial Narrow"/>
        </w:rPr>
      </w:pPr>
      <w:r w:rsidRPr="00C833E1">
        <w:rPr>
          <w:rFonts w:ascii="Arial Narrow" w:hAnsi="Arial Narrow"/>
        </w:rPr>
        <w:t>Mettons en garde la classe politique des lourdes responsabilités (de crime politique et économique) que l’histoire retiendra contre ceux et celles qui, pour des intérêts partisans et égoïstes, ont opté délibérément de maintenir le Togo dans un état permanent de crise politique, économique et sociale.</w:t>
      </w:r>
    </w:p>
    <w:p w:rsidR="00E2787E" w:rsidRPr="00C833E1" w:rsidRDefault="00E2787E" w:rsidP="00E2787E">
      <w:pPr>
        <w:pStyle w:val="Sansinterligne"/>
        <w:ind w:left="720"/>
        <w:jc w:val="both"/>
        <w:rPr>
          <w:rFonts w:ascii="Arial Narrow" w:hAnsi="Arial Narrow"/>
        </w:rPr>
      </w:pPr>
    </w:p>
    <w:p w:rsidR="00E2787E" w:rsidRPr="00C833E1" w:rsidRDefault="00E2787E" w:rsidP="00E2787E">
      <w:pPr>
        <w:pStyle w:val="Sansinterligne"/>
        <w:jc w:val="both"/>
        <w:rPr>
          <w:rFonts w:ascii="Arial Narrow" w:hAnsi="Arial Narrow"/>
        </w:rPr>
      </w:pPr>
    </w:p>
    <w:p w:rsidR="00E2787E" w:rsidRPr="00245C47" w:rsidRDefault="00E2787E" w:rsidP="00E2787E">
      <w:pPr>
        <w:pStyle w:val="Sansinterligne"/>
        <w:jc w:val="both"/>
        <w:rPr>
          <w:rFonts w:ascii="Arial Narrow" w:hAnsi="Arial Narrow"/>
          <w:b/>
        </w:rPr>
      </w:pPr>
      <w:r w:rsidRPr="00245C47">
        <w:rPr>
          <w:rFonts w:ascii="Arial Narrow" w:hAnsi="Arial Narrow"/>
          <w:b/>
        </w:rPr>
        <w:t>Pour permettre une alternance politique pacifique au Togo, ID2015 fait les recommandations suivantes :</w:t>
      </w:r>
    </w:p>
    <w:p w:rsidR="00E2787E" w:rsidRPr="00C833E1" w:rsidRDefault="00E2787E" w:rsidP="00E2787E">
      <w:pPr>
        <w:pStyle w:val="Sansinterligne"/>
        <w:jc w:val="both"/>
        <w:rPr>
          <w:rFonts w:ascii="Arial Narrow" w:hAnsi="Arial Narrow"/>
        </w:rPr>
      </w:pPr>
      <w:r w:rsidRPr="00C833E1">
        <w:rPr>
          <w:rFonts w:ascii="Arial Narrow" w:hAnsi="Arial Narrow"/>
        </w:rPr>
        <w:t xml:space="preserve"> </w:t>
      </w:r>
    </w:p>
    <w:p w:rsidR="00E2787E" w:rsidRPr="00E2787E" w:rsidRDefault="00E2787E" w:rsidP="00E2787E">
      <w:pPr>
        <w:pStyle w:val="Sansinterligne"/>
        <w:numPr>
          <w:ilvl w:val="0"/>
          <w:numId w:val="4"/>
        </w:numPr>
        <w:autoSpaceDE w:val="0"/>
        <w:autoSpaceDN w:val="0"/>
        <w:adjustRightInd w:val="0"/>
        <w:jc w:val="both"/>
        <w:rPr>
          <w:rFonts w:ascii="TimesNewRomanPSMT" w:hAnsi="TimesNewRomanPSMT" w:cs="TimesNewRomanPSMT"/>
        </w:rPr>
      </w:pPr>
      <w:r w:rsidRPr="00C833E1">
        <w:rPr>
          <w:rFonts w:ascii="Arial Narrow" w:hAnsi="Arial Narrow"/>
        </w:rPr>
        <w:t>L’impérieuses nécessité de la mobilisation de la diaspora togolaise afin d’accompagner l’aspiration légitime du peuple togolais au changement démocratique, à la justice sociale et à la prospérité économique ;</w:t>
      </w:r>
    </w:p>
    <w:p w:rsidR="00E2787E" w:rsidRPr="00C833E1" w:rsidRDefault="00E2787E" w:rsidP="00E2787E">
      <w:pPr>
        <w:pStyle w:val="Sansinterligne"/>
        <w:autoSpaceDE w:val="0"/>
        <w:autoSpaceDN w:val="0"/>
        <w:adjustRightInd w:val="0"/>
        <w:ind w:left="720"/>
        <w:jc w:val="both"/>
        <w:rPr>
          <w:rFonts w:ascii="TimesNewRomanPSMT" w:hAnsi="TimesNewRomanPSMT" w:cs="TimesNewRomanPSMT"/>
        </w:rPr>
      </w:pPr>
    </w:p>
    <w:p w:rsidR="00E2787E" w:rsidRDefault="00E2787E" w:rsidP="00E2787E">
      <w:pPr>
        <w:pStyle w:val="Sansinterligne"/>
        <w:numPr>
          <w:ilvl w:val="0"/>
          <w:numId w:val="4"/>
        </w:numPr>
        <w:jc w:val="both"/>
        <w:rPr>
          <w:rFonts w:ascii="Arial Narrow" w:hAnsi="Arial Narrow"/>
        </w:rPr>
      </w:pPr>
      <w:r w:rsidRPr="00C833E1">
        <w:rPr>
          <w:rFonts w:ascii="Arial Narrow" w:hAnsi="Arial Narrow"/>
        </w:rPr>
        <w:t>L’urgence de l’éveil et de l’engagement patriotique de la diaspora togolaise pour soutenir et relayer les objectifs et actions d’ID2015 à l’échelle de leur pays d’accueil respectif ;</w:t>
      </w:r>
    </w:p>
    <w:p w:rsidR="00E2787E" w:rsidRPr="00C833E1" w:rsidRDefault="00E2787E" w:rsidP="00E2787E">
      <w:pPr>
        <w:pStyle w:val="Sansinterligne"/>
        <w:jc w:val="both"/>
        <w:rPr>
          <w:rFonts w:ascii="Arial Narrow" w:hAnsi="Arial Narrow"/>
        </w:rPr>
      </w:pPr>
    </w:p>
    <w:p w:rsidR="00E2787E"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rPr>
        <w:t>L’obligation pour les forces de changement (partis politiques démocratiques, société civile, confession religieuses, etc.) œuvrant pour l’alternance politique pacifique au Togo d’unir leurs efforts et énergies pour réclamer la suspension du processus électoral en cours et la mise en œuvre effective des réformes constitutionnelles et institutionnelles devant garantir la transparence et l’équité des prochaines consultations électorales au Togo ;</w:t>
      </w:r>
    </w:p>
    <w:p w:rsidR="00E2787E" w:rsidRPr="00C833E1" w:rsidRDefault="00E2787E" w:rsidP="00E2787E">
      <w:pPr>
        <w:pStyle w:val="Sansinterligne"/>
        <w:autoSpaceDE w:val="0"/>
        <w:autoSpaceDN w:val="0"/>
        <w:adjustRightInd w:val="0"/>
        <w:jc w:val="both"/>
        <w:rPr>
          <w:rFonts w:ascii="Arial Narrow" w:hAnsi="Arial Narrow"/>
        </w:rPr>
      </w:pPr>
    </w:p>
    <w:p w:rsidR="00E2787E"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rPr>
        <w:t xml:space="preserve">La nécessité d’une mobilisation forte et décisive du Peuple Togolais par tous les moyens légaux dévolus par la Constitution togolaise pour obtenir le retour aux dispositions constitutionnelles plébiscitées par 97% des populations lors du référendum de 27 Septembre 1992 et prévoyant </w:t>
      </w:r>
      <w:r>
        <w:rPr>
          <w:rFonts w:ascii="Arial Narrow" w:hAnsi="Arial Narrow"/>
        </w:rPr>
        <w:t xml:space="preserve">entre autres </w:t>
      </w:r>
      <w:r w:rsidRPr="00C833E1">
        <w:rPr>
          <w:rFonts w:ascii="Arial Narrow" w:hAnsi="Arial Narrow"/>
        </w:rPr>
        <w:t>un mode de scrutin uninominal majoritaire à deux tours pour l’élection présidentielle et une limitation de la magistrature suprême à deux mandats ;</w:t>
      </w:r>
    </w:p>
    <w:p w:rsidR="00E2787E" w:rsidRPr="00C833E1" w:rsidRDefault="00E2787E" w:rsidP="00E2787E">
      <w:pPr>
        <w:pStyle w:val="Sansinterligne"/>
        <w:autoSpaceDE w:val="0"/>
        <w:autoSpaceDN w:val="0"/>
        <w:adjustRightInd w:val="0"/>
        <w:jc w:val="both"/>
        <w:rPr>
          <w:rFonts w:ascii="Arial Narrow" w:hAnsi="Arial Narrow"/>
        </w:rPr>
      </w:pPr>
    </w:p>
    <w:p w:rsidR="00E2787E" w:rsidRPr="00E2787E"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szCs w:val="24"/>
          <w:shd w:val="clear" w:color="auto" w:fill="FFFFFF"/>
        </w:rPr>
        <w:t>L’obligation pour l’armée togolaise, au passif assez lourd dans notre histoire récente, afin qu’elle remette sa mission première – la protection des institutions républicaines, du Peuple et la défense de l’intégrité du territoire national – au sommet de ses actions ; qu’elle prenne ses responsabilités en se détournant de toute instrumentalisation politique et fasse preuve d’une neutralité manifeste</w:t>
      </w:r>
      <w:r>
        <w:rPr>
          <w:rFonts w:ascii="Arial Narrow" w:hAnsi="Arial Narrow"/>
          <w:szCs w:val="24"/>
          <w:shd w:val="clear" w:color="auto" w:fill="FFFFFF"/>
        </w:rPr>
        <w:t> ;</w:t>
      </w:r>
    </w:p>
    <w:p w:rsidR="00E2787E" w:rsidRPr="00C833E1" w:rsidRDefault="00E2787E" w:rsidP="00E2787E">
      <w:pPr>
        <w:pStyle w:val="Sansinterligne"/>
        <w:autoSpaceDE w:val="0"/>
        <w:autoSpaceDN w:val="0"/>
        <w:adjustRightInd w:val="0"/>
        <w:jc w:val="both"/>
        <w:rPr>
          <w:rFonts w:ascii="Arial Narrow" w:hAnsi="Arial Narrow"/>
        </w:rPr>
      </w:pPr>
    </w:p>
    <w:p w:rsidR="00E2787E" w:rsidRPr="00E2787E"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szCs w:val="24"/>
          <w:shd w:val="clear" w:color="auto" w:fill="FFFFFF"/>
        </w:rPr>
        <w:t>L’impératif républicain de la gendarmerie et la police nationales de se limiter aux strictes missions régaliennes qui leur sont assignées</w:t>
      </w:r>
      <w:r>
        <w:rPr>
          <w:rFonts w:ascii="Arial Narrow" w:hAnsi="Arial Narrow"/>
          <w:szCs w:val="24"/>
          <w:shd w:val="clear" w:color="auto" w:fill="FFFFFF"/>
        </w:rPr>
        <w:t> ;</w:t>
      </w:r>
    </w:p>
    <w:p w:rsidR="00E2787E" w:rsidRPr="00950548" w:rsidRDefault="00E2787E" w:rsidP="00E2787E">
      <w:pPr>
        <w:pStyle w:val="Sansinterligne"/>
        <w:autoSpaceDE w:val="0"/>
        <w:autoSpaceDN w:val="0"/>
        <w:adjustRightInd w:val="0"/>
        <w:jc w:val="both"/>
        <w:rPr>
          <w:rFonts w:ascii="Arial Narrow" w:hAnsi="Arial Narrow"/>
        </w:rPr>
      </w:pPr>
    </w:p>
    <w:p w:rsidR="00E2787E" w:rsidRPr="00E2787E" w:rsidRDefault="00E2787E" w:rsidP="00E2787E">
      <w:pPr>
        <w:pStyle w:val="Sansinterligne"/>
        <w:numPr>
          <w:ilvl w:val="0"/>
          <w:numId w:val="4"/>
        </w:numPr>
        <w:jc w:val="both"/>
        <w:rPr>
          <w:rFonts w:ascii="Arial Narrow" w:hAnsi="Arial Narrow"/>
          <w:sz w:val="24"/>
          <w:szCs w:val="24"/>
        </w:rPr>
      </w:pPr>
      <w:r>
        <w:rPr>
          <w:rFonts w:ascii="Arial Narrow" w:hAnsi="Arial Narrow"/>
          <w:sz w:val="24"/>
          <w:szCs w:val="24"/>
          <w:shd w:val="clear" w:color="auto" w:fill="FFFFFF"/>
        </w:rPr>
        <w:t>Le devoir des</w:t>
      </w:r>
      <w:r w:rsidRPr="002A78EA">
        <w:rPr>
          <w:rFonts w:ascii="Arial Narrow" w:hAnsi="Arial Narrow"/>
          <w:sz w:val="24"/>
          <w:szCs w:val="24"/>
          <w:shd w:val="clear" w:color="auto" w:fill="FFFFFF"/>
        </w:rPr>
        <w:t xml:space="preserve"> Hommes d’Eglises d’aller au-delà des déclarations</w:t>
      </w:r>
      <w:r>
        <w:rPr>
          <w:rFonts w:ascii="Arial Narrow" w:hAnsi="Arial Narrow"/>
          <w:sz w:val="24"/>
          <w:szCs w:val="24"/>
          <w:shd w:val="clear" w:color="auto" w:fill="FFFFFF"/>
        </w:rPr>
        <w:t>,</w:t>
      </w:r>
      <w:r w:rsidRPr="002A78EA">
        <w:rPr>
          <w:rFonts w:ascii="Arial Narrow" w:hAnsi="Arial Narrow"/>
          <w:sz w:val="24"/>
          <w:szCs w:val="24"/>
          <w:shd w:val="clear" w:color="auto" w:fill="FFFFFF"/>
        </w:rPr>
        <w:t xml:space="preserve"> </w:t>
      </w:r>
      <w:r>
        <w:rPr>
          <w:rFonts w:ascii="Arial Narrow" w:hAnsi="Arial Narrow"/>
          <w:sz w:val="24"/>
          <w:szCs w:val="24"/>
          <w:shd w:val="clear" w:color="auto" w:fill="FFFFFF"/>
        </w:rPr>
        <w:t xml:space="preserve">certes pertinentes, </w:t>
      </w:r>
      <w:r w:rsidRPr="002A78EA">
        <w:rPr>
          <w:rFonts w:ascii="Arial Narrow" w:hAnsi="Arial Narrow"/>
          <w:sz w:val="24"/>
          <w:szCs w:val="24"/>
          <w:shd w:val="clear" w:color="auto" w:fill="FFFFFF"/>
        </w:rPr>
        <w:t xml:space="preserve">en posant des actes </w:t>
      </w:r>
      <w:r>
        <w:rPr>
          <w:rFonts w:ascii="Arial Narrow" w:hAnsi="Arial Narrow"/>
          <w:sz w:val="24"/>
          <w:szCs w:val="24"/>
          <w:shd w:val="clear" w:color="auto" w:fill="FFFFFF"/>
        </w:rPr>
        <w:t xml:space="preserve">encore </w:t>
      </w:r>
      <w:r w:rsidRPr="002A78EA">
        <w:rPr>
          <w:rFonts w:ascii="Arial Narrow" w:hAnsi="Arial Narrow"/>
          <w:sz w:val="24"/>
          <w:szCs w:val="24"/>
          <w:shd w:val="clear" w:color="auto" w:fill="FFFFFF"/>
        </w:rPr>
        <w:t xml:space="preserve">plus responsables à l’instar </w:t>
      </w:r>
      <w:r>
        <w:rPr>
          <w:rFonts w:ascii="Arial Narrow" w:hAnsi="Arial Narrow"/>
          <w:sz w:val="24"/>
          <w:szCs w:val="24"/>
          <w:shd w:val="clear" w:color="auto" w:fill="FFFFFF"/>
        </w:rPr>
        <w:t xml:space="preserve">de </w:t>
      </w:r>
      <w:r w:rsidRPr="002A78EA">
        <w:rPr>
          <w:rFonts w:ascii="Arial Narrow" w:hAnsi="Arial Narrow"/>
          <w:sz w:val="24"/>
          <w:szCs w:val="24"/>
          <w:shd w:val="clear" w:color="auto" w:fill="FFFFFF"/>
        </w:rPr>
        <w:t>leurs pairs congolais</w:t>
      </w:r>
      <w:r>
        <w:rPr>
          <w:rFonts w:ascii="Arial Narrow" w:hAnsi="Arial Narrow"/>
          <w:sz w:val="24"/>
          <w:szCs w:val="24"/>
          <w:shd w:val="clear" w:color="auto" w:fill="FFFFFF"/>
        </w:rPr>
        <w:t> ;</w:t>
      </w:r>
    </w:p>
    <w:p w:rsidR="00E2787E" w:rsidRPr="00950548" w:rsidRDefault="00E2787E" w:rsidP="00E2787E">
      <w:pPr>
        <w:pStyle w:val="Sansinterligne"/>
        <w:jc w:val="both"/>
        <w:rPr>
          <w:rFonts w:ascii="Arial Narrow" w:hAnsi="Arial Narrow"/>
          <w:sz w:val="24"/>
          <w:szCs w:val="24"/>
        </w:rPr>
      </w:pPr>
    </w:p>
    <w:p w:rsidR="00E2787E" w:rsidRDefault="00E2787E" w:rsidP="00E2787E">
      <w:pPr>
        <w:pStyle w:val="Sansinterligne"/>
        <w:numPr>
          <w:ilvl w:val="0"/>
          <w:numId w:val="4"/>
        </w:numPr>
        <w:jc w:val="both"/>
        <w:rPr>
          <w:rFonts w:ascii="Arial Narrow" w:hAnsi="Arial Narrow"/>
        </w:rPr>
      </w:pPr>
      <w:r>
        <w:rPr>
          <w:rFonts w:ascii="Arial Narrow" w:hAnsi="Arial Narrow"/>
        </w:rPr>
        <w:t>La nécessité</w:t>
      </w:r>
      <w:r w:rsidRPr="00C833E1">
        <w:rPr>
          <w:rFonts w:ascii="Arial Narrow" w:hAnsi="Arial Narrow"/>
        </w:rPr>
        <w:t xml:space="preserve"> pour les médias publics et privés de contribuer à l’éducation citoyenne des populations togolaises avec professionnalisme et responsabilité conformément aux exigences déontologiques ;</w:t>
      </w:r>
    </w:p>
    <w:p w:rsidR="00E2787E" w:rsidRPr="00C833E1" w:rsidRDefault="00E2787E" w:rsidP="00E2787E">
      <w:pPr>
        <w:pStyle w:val="Sansinterligne"/>
        <w:jc w:val="both"/>
        <w:rPr>
          <w:rFonts w:ascii="Arial Narrow" w:hAnsi="Arial Narrow"/>
        </w:rPr>
      </w:pPr>
    </w:p>
    <w:p w:rsidR="00E2787E" w:rsidRPr="00394DEA"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rPr>
        <w:t>L’obligation pour les autorités administratives ayant le processus électoral dans leurs attributions (la Cour constitutionnelle, la CENI, la HAAC, la Cour de comptes) d’observer les règles cardinales d’équité et d’impartialité conformément à la Constitution togolaise ;</w:t>
      </w:r>
    </w:p>
    <w:p w:rsidR="00E2787E" w:rsidRPr="00C833E1" w:rsidRDefault="00E2787E" w:rsidP="00E2787E">
      <w:pPr>
        <w:pStyle w:val="Sansinterligne"/>
        <w:numPr>
          <w:ilvl w:val="0"/>
          <w:numId w:val="4"/>
        </w:numPr>
        <w:autoSpaceDE w:val="0"/>
        <w:autoSpaceDN w:val="0"/>
        <w:adjustRightInd w:val="0"/>
        <w:jc w:val="both"/>
        <w:rPr>
          <w:rFonts w:ascii="Arial Narrow" w:hAnsi="Arial Narrow"/>
        </w:rPr>
      </w:pPr>
      <w:r w:rsidRPr="00C833E1">
        <w:rPr>
          <w:rFonts w:ascii="Arial Narrow" w:hAnsi="Arial Narrow"/>
        </w:rPr>
        <w:lastRenderedPageBreak/>
        <w:t>La nécessité pour les partenaires techniques et financiers du Togo et pour la communauté internationale d’user de leurs influences avec davantage de cohérence, d’objectivité et de responsabilité pour aider au déblocage du processus démocratique au Togo.</w:t>
      </w:r>
    </w:p>
    <w:p w:rsidR="00E2787E" w:rsidRDefault="00E2787E" w:rsidP="00E2787E">
      <w:pPr>
        <w:pStyle w:val="Sansinterligne"/>
        <w:jc w:val="both"/>
        <w:rPr>
          <w:rFonts w:ascii="Arial Narrow" w:hAnsi="Arial Narrow"/>
          <w:sz w:val="24"/>
          <w:szCs w:val="24"/>
        </w:rPr>
      </w:pPr>
    </w:p>
    <w:p w:rsidR="00E2787E" w:rsidRDefault="00E2787E" w:rsidP="00E2787E">
      <w:pPr>
        <w:pStyle w:val="Sansinterligne"/>
        <w:jc w:val="both"/>
        <w:rPr>
          <w:rFonts w:ascii="Arial Narrow" w:hAnsi="Arial Narrow"/>
          <w:sz w:val="24"/>
          <w:szCs w:val="24"/>
        </w:rPr>
      </w:pPr>
    </w:p>
    <w:p w:rsidR="00E2787E" w:rsidRDefault="00E2787E" w:rsidP="00E2787E">
      <w:pPr>
        <w:pStyle w:val="Sansinterligne"/>
        <w:jc w:val="both"/>
        <w:rPr>
          <w:rFonts w:ascii="Arial Narrow" w:hAnsi="Arial Narrow"/>
          <w:sz w:val="24"/>
          <w:szCs w:val="24"/>
        </w:rPr>
      </w:pPr>
    </w:p>
    <w:p w:rsidR="00E2787E" w:rsidRPr="00374CD9" w:rsidRDefault="00E2787E" w:rsidP="00E2787E">
      <w:pPr>
        <w:pStyle w:val="Sansinterligne"/>
        <w:jc w:val="both"/>
        <w:rPr>
          <w:rFonts w:ascii="Arial Narrow" w:hAnsi="Arial Narrow"/>
          <w:sz w:val="24"/>
          <w:szCs w:val="24"/>
        </w:rPr>
      </w:pPr>
    </w:p>
    <w:p w:rsidR="00E2787E" w:rsidRPr="00E2787E" w:rsidRDefault="00E2787E" w:rsidP="00E2787E">
      <w:pPr>
        <w:pStyle w:val="Sansinterligne"/>
        <w:jc w:val="both"/>
        <w:rPr>
          <w:rFonts w:ascii="Arial Narrow" w:hAnsi="Arial Narrow"/>
          <w:szCs w:val="24"/>
        </w:rPr>
      </w:pPr>
      <w:r w:rsidRPr="00E2787E">
        <w:rPr>
          <w:rFonts w:ascii="Arial Narrow" w:hAnsi="Arial Narrow"/>
          <w:szCs w:val="24"/>
        </w:rPr>
        <w:t>Fait à Liège, le 25 octobre 2014</w:t>
      </w:r>
    </w:p>
    <w:p w:rsidR="00E2787E" w:rsidRPr="00E2787E" w:rsidRDefault="00E2787E" w:rsidP="00E2787E">
      <w:pPr>
        <w:autoSpaceDE w:val="0"/>
        <w:autoSpaceDN w:val="0"/>
        <w:adjustRightInd w:val="0"/>
        <w:spacing w:after="0" w:line="240" w:lineRule="auto"/>
        <w:jc w:val="both"/>
        <w:rPr>
          <w:rFonts w:ascii="Arial Narrow" w:hAnsi="Arial Narrow"/>
          <w:b/>
          <w:i/>
          <w:szCs w:val="24"/>
        </w:rPr>
      </w:pPr>
    </w:p>
    <w:p w:rsidR="00E2787E" w:rsidRPr="00E2787E" w:rsidRDefault="00E2787E" w:rsidP="00E2787E">
      <w:pPr>
        <w:autoSpaceDE w:val="0"/>
        <w:autoSpaceDN w:val="0"/>
        <w:adjustRightInd w:val="0"/>
        <w:spacing w:after="0" w:line="240" w:lineRule="auto"/>
        <w:jc w:val="both"/>
        <w:rPr>
          <w:rFonts w:ascii="Arial Narrow" w:hAnsi="Arial Narrow"/>
          <w:b/>
          <w:szCs w:val="24"/>
        </w:rPr>
      </w:pPr>
      <w:r w:rsidRPr="00E2787E">
        <w:rPr>
          <w:rFonts w:ascii="Arial Narrow" w:hAnsi="Arial Narrow"/>
          <w:b/>
          <w:szCs w:val="24"/>
        </w:rPr>
        <w:t>Les signataires :</w:t>
      </w:r>
    </w:p>
    <w:p w:rsidR="00E2787E" w:rsidRPr="00E2787E" w:rsidRDefault="00E2787E" w:rsidP="00E27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szCs w:val="24"/>
        </w:rPr>
        <w:sectPr w:rsidR="00E2787E" w:rsidRPr="00E2787E" w:rsidSect="0099488F">
          <w:footerReference w:type="default" r:id="rId8"/>
          <w:pgSz w:w="11906" w:h="16838"/>
          <w:pgMar w:top="1417" w:right="1417" w:bottom="1417" w:left="1417" w:header="708" w:footer="708" w:gutter="0"/>
          <w:pgNumType w:start="0"/>
          <w:cols w:space="708"/>
          <w:titlePg/>
          <w:docGrid w:linePitch="360"/>
        </w:sectPr>
      </w:pPr>
    </w:p>
    <w:p w:rsidR="000D458D" w:rsidRPr="00E2787E" w:rsidRDefault="000D458D" w:rsidP="00E2787E">
      <w:pPr>
        <w:autoSpaceDE w:val="0"/>
        <w:autoSpaceDN w:val="0"/>
        <w:adjustRightInd w:val="0"/>
        <w:spacing w:after="0" w:line="240" w:lineRule="auto"/>
        <w:jc w:val="both"/>
        <w:rPr>
          <w:rFonts w:ascii="Arial Narrow" w:hAnsi="Arial Narrow"/>
          <w:szCs w:val="24"/>
        </w:rPr>
      </w:pPr>
    </w:p>
    <w:p w:rsidR="00397471" w:rsidRPr="00FA37C2" w:rsidRDefault="002A7F02" w:rsidP="00B03C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ind w:firstLine="708"/>
        <w:rPr>
          <w:rFonts w:ascii="Arial Narrow" w:hAnsi="Arial Narrow"/>
          <w:b/>
        </w:rPr>
      </w:pPr>
      <w:r w:rsidRPr="00FA37C2">
        <w:rPr>
          <w:rFonts w:ascii="Arial Narrow" w:hAnsi="Arial Narrow"/>
          <w:b/>
        </w:rPr>
        <w:t>Associations</w:t>
      </w:r>
      <w:r w:rsidRPr="00FA37C2">
        <w:rPr>
          <w:rFonts w:ascii="Arial Narrow" w:hAnsi="Arial Narrow"/>
          <w:b/>
        </w:rPr>
        <w:tab/>
      </w:r>
      <w:r w:rsidRPr="00FA37C2">
        <w:rPr>
          <w:rFonts w:ascii="Arial Narrow" w:hAnsi="Arial Narrow"/>
          <w:b/>
        </w:rPr>
        <w:tab/>
      </w:r>
      <w:r w:rsidRPr="00FA37C2">
        <w:rPr>
          <w:rFonts w:ascii="Arial Narrow" w:hAnsi="Arial Narrow"/>
          <w:b/>
        </w:rPr>
        <w:tab/>
      </w:r>
      <w:r w:rsidRPr="00FA37C2">
        <w:rPr>
          <w:rFonts w:ascii="Arial Narrow" w:hAnsi="Arial Narrow"/>
          <w:b/>
        </w:rPr>
        <w:tab/>
      </w:r>
      <w:r w:rsidRPr="00FA37C2">
        <w:rPr>
          <w:rFonts w:ascii="Arial Narrow" w:hAnsi="Arial Narrow"/>
          <w:b/>
        </w:rPr>
        <w:tab/>
      </w:r>
      <w:r w:rsidRPr="00FA37C2">
        <w:rPr>
          <w:rFonts w:ascii="Arial Narrow" w:hAnsi="Arial Narrow"/>
          <w:b/>
        </w:rPr>
        <w:tab/>
      </w:r>
      <w:r w:rsidR="001B28E2" w:rsidRPr="00FA37C2">
        <w:rPr>
          <w:rFonts w:ascii="Arial Narrow" w:hAnsi="Arial Narrow"/>
          <w:b/>
        </w:rPr>
        <w:tab/>
      </w:r>
      <w:r w:rsidR="001B28E2" w:rsidRPr="00FA37C2">
        <w:rPr>
          <w:rFonts w:ascii="Arial Narrow" w:hAnsi="Arial Narrow"/>
          <w:b/>
        </w:rPr>
        <w:tab/>
      </w:r>
      <w:r w:rsidRPr="00FA37C2">
        <w:rPr>
          <w:rFonts w:ascii="Arial Narrow" w:hAnsi="Arial Narrow"/>
          <w:b/>
        </w:rPr>
        <w:t>Pays</w:t>
      </w:r>
    </w:p>
    <w:p w:rsidR="002A7F02" w:rsidRPr="00FA37C2" w:rsidRDefault="002A7F02" w:rsidP="001B28E2">
      <w:pPr>
        <w:pBdr>
          <w:top w:val="single" w:sz="4" w:space="1" w:color="auto"/>
          <w:left w:val="single" w:sz="4" w:space="4" w:color="auto"/>
          <w:bottom w:val="single" w:sz="4" w:space="1" w:color="auto"/>
          <w:right w:val="single" w:sz="4" w:space="4" w:color="auto"/>
        </w:pBdr>
        <w:ind w:firstLine="708"/>
        <w:jc w:val="both"/>
        <w:rPr>
          <w:rFonts w:ascii="Arial Narrow" w:hAnsi="Arial Narrow"/>
        </w:rPr>
      </w:pPr>
      <w:r w:rsidRPr="00FA37C2">
        <w:rPr>
          <w:rFonts w:ascii="Arial Narrow" w:hAnsi="Arial Narrow"/>
        </w:rPr>
        <w:t>GFSA</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Suisse</w:t>
      </w:r>
    </w:p>
    <w:p w:rsidR="002A7F02" w:rsidRPr="00FA37C2" w:rsidRDefault="002A7F02" w:rsidP="001B28E2">
      <w:pPr>
        <w:pBdr>
          <w:top w:val="single" w:sz="4" w:space="1" w:color="auto"/>
          <w:left w:val="single" w:sz="4" w:space="4" w:color="auto"/>
          <w:bottom w:val="single" w:sz="4" w:space="1" w:color="auto"/>
          <w:right w:val="single" w:sz="4" w:space="4" w:color="auto"/>
        </w:pBdr>
        <w:shd w:val="clear" w:color="auto" w:fill="A6A6A6" w:themeFill="background1" w:themeFillShade="A6"/>
        <w:ind w:firstLine="708"/>
        <w:jc w:val="both"/>
        <w:rPr>
          <w:rFonts w:ascii="Arial Narrow" w:hAnsi="Arial Narrow"/>
        </w:rPr>
      </w:pPr>
      <w:r w:rsidRPr="00FA37C2">
        <w:rPr>
          <w:rFonts w:ascii="Arial Narrow" w:hAnsi="Arial Narrow"/>
        </w:rPr>
        <w:t>Initiative 3D</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Belgique</w:t>
      </w:r>
    </w:p>
    <w:p w:rsidR="002A7F02" w:rsidRPr="00FA37C2" w:rsidRDefault="002A7F02" w:rsidP="001B28E2">
      <w:pPr>
        <w:pBdr>
          <w:top w:val="single" w:sz="4" w:space="1" w:color="auto"/>
          <w:left w:val="single" w:sz="4" w:space="4" w:color="auto"/>
          <w:bottom w:val="single" w:sz="4" w:space="1" w:color="auto"/>
          <w:right w:val="single" w:sz="4" w:space="4" w:color="auto"/>
        </w:pBdr>
        <w:ind w:firstLine="708"/>
        <w:jc w:val="both"/>
        <w:rPr>
          <w:rFonts w:ascii="Arial Narrow" w:hAnsi="Arial Narrow"/>
        </w:rPr>
      </w:pPr>
      <w:r w:rsidRPr="00FA37C2">
        <w:rPr>
          <w:rFonts w:ascii="Arial Narrow" w:hAnsi="Arial Narrow"/>
        </w:rPr>
        <w:t>MO5*</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Belgique</w:t>
      </w:r>
    </w:p>
    <w:p w:rsidR="002A7F02" w:rsidRPr="00FA37C2" w:rsidRDefault="002A7F02" w:rsidP="001B28E2">
      <w:pPr>
        <w:pBdr>
          <w:top w:val="single" w:sz="4" w:space="1" w:color="auto"/>
          <w:left w:val="single" w:sz="4" w:space="4" w:color="auto"/>
          <w:bottom w:val="single" w:sz="4" w:space="1" w:color="auto"/>
          <w:right w:val="single" w:sz="4" w:space="4" w:color="auto"/>
        </w:pBdr>
        <w:shd w:val="clear" w:color="auto" w:fill="A6A6A6" w:themeFill="background1" w:themeFillShade="A6"/>
        <w:ind w:firstLine="708"/>
        <w:jc w:val="both"/>
        <w:rPr>
          <w:rFonts w:ascii="Arial Narrow" w:hAnsi="Arial Narrow"/>
        </w:rPr>
      </w:pPr>
      <w:r w:rsidRPr="00FA37C2">
        <w:rPr>
          <w:rFonts w:ascii="Arial Narrow" w:hAnsi="Arial Narrow"/>
        </w:rPr>
        <w:t>MTN</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USA</w:t>
      </w:r>
    </w:p>
    <w:p w:rsidR="002A7F02" w:rsidRPr="00FA37C2" w:rsidRDefault="002A7F02" w:rsidP="001B28E2">
      <w:pPr>
        <w:pBdr>
          <w:top w:val="single" w:sz="4" w:space="1" w:color="auto"/>
          <w:left w:val="single" w:sz="4" w:space="4" w:color="auto"/>
          <w:bottom w:val="single" w:sz="4" w:space="1" w:color="auto"/>
          <w:right w:val="single" w:sz="4" w:space="4" w:color="auto"/>
        </w:pBdr>
        <w:ind w:firstLine="708"/>
        <w:jc w:val="both"/>
        <w:rPr>
          <w:rFonts w:ascii="Arial Narrow" w:hAnsi="Arial Narrow"/>
        </w:rPr>
      </w:pPr>
      <w:r w:rsidRPr="00FA37C2">
        <w:rPr>
          <w:rFonts w:ascii="Arial Narrow" w:hAnsi="Arial Narrow"/>
        </w:rPr>
        <w:t>CRI-TG</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Pays-Bas</w:t>
      </w:r>
    </w:p>
    <w:p w:rsidR="002A7F02" w:rsidRPr="00FA37C2" w:rsidRDefault="002A7F02" w:rsidP="001B28E2">
      <w:pPr>
        <w:pBdr>
          <w:top w:val="single" w:sz="4" w:space="1" w:color="auto"/>
          <w:left w:val="single" w:sz="4" w:space="4" w:color="auto"/>
          <w:bottom w:val="single" w:sz="4" w:space="1" w:color="auto"/>
          <w:right w:val="single" w:sz="4" w:space="4" w:color="auto"/>
        </w:pBdr>
        <w:shd w:val="clear" w:color="auto" w:fill="A6A6A6" w:themeFill="background1" w:themeFillShade="A6"/>
        <w:ind w:firstLine="708"/>
        <w:jc w:val="both"/>
        <w:rPr>
          <w:rFonts w:ascii="Arial Narrow" w:hAnsi="Arial Narrow"/>
          <w:lang w:val="en-US"/>
        </w:rPr>
      </w:pPr>
      <w:r w:rsidRPr="00FA37C2">
        <w:rPr>
          <w:rFonts w:ascii="Arial Narrow" w:hAnsi="Arial Narrow"/>
          <w:lang w:val="en-US"/>
        </w:rPr>
        <w:t>Pyramid of Yeweh</w:t>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001B28E2" w:rsidRPr="00FA37C2">
        <w:rPr>
          <w:rFonts w:ascii="Arial Narrow" w:hAnsi="Arial Narrow"/>
          <w:lang w:val="en-US"/>
        </w:rPr>
        <w:tab/>
      </w:r>
      <w:r w:rsidR="001B28E2" w:rsidRPr="00FA37C2">
        <w:rPr>
          <w:rFonts w:ascii="Arial Narrow" w:hAnsi="Arial Narrow"/>
          <w:lang w:val="en-US"/>
        </w:rPr>
        <w:tab/>
      </w:r>
      <w:r w:rsidRPr="00FA37C2">
        <w:rPr>
          <w:rFonts w:ascii="Arial Narrow" w:hAnsi="Arial Narrow"/>
          <w:lang w:val="en-US"/>
        </w:rPr>
        <w:t>Suisse</w:t>
      </w:r>
    </w:p>
    <w:p w:rsidR="002A7F02" w:rsidRPr="00FA37C2" w:rsidRDefault="002A7F02" w:rsidP="001B28E2">
      <w:pPr>
        <w:pBdr>
          <w:top w:val="single" w:sz="4" w:space="1" w:color="auto"/>
          <w:left w:val="single" w:sz="4" w:space="4" w:color="auto"/>
          <w:bottom w:val="single" w:sz="4" w:space="1" w:color="auto"/>
          <w:right w:val="single" w:sz="4" w:space="4" w:color="auto"/>
        </w:pBdr>
        <w:ind w:firstLine="708"/>
        <w:jc w:val="both"/>
        <w:rPr>
          <w:rFonts w:ascii="Arial Narrow" w:hAnsi="Arial Narrow"/>
          <w:lang w:val="en-US"/>
        </w:rPr>
      </w:pPr>
      <w:r w:rsidRPr="00FA37C2">
        <w:rPr>
          <w:rFonts w:ascii="Arial Narrow" w:hAnsi="Arial Narrow"/>
          <w:lang w:val="en-US"/>
        </w:rPr>
        <w:t>CEMAF-TOGO</w:t>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001B28E2" w:rsidRPr="00FA37C2">
        <w:rPr>
          <w:rFonts w:ascii="Arial Narrow" w:hAnsi="Arial Narrow"/>
          <w:lang w:val="en-US"/>
        </w:rPr>
        <w:tab/>
      </w:r>
      <w:r w:rsidR="001B28E2" w:rsidRPr="00FA37C2">
        <w:rPr>
          <w:rFonts w:ascii="Arial Narrow" w:hAnsi="Arial Narrow"/>
          <w:lang w:val="en-US"/>
        </w:rPr>
        <w:tab/>
      </w:r>
      <w:r w:rsidRPr="00FA37C2">
        <w:rPr>
          <w:rFonts w:ascii="Arial Narrow" w:hAnsi="Arial Narrow"/>
          <w:lang w:val="en-US"/>
        </w:rPr>
        <w:tab/>
        <w:t>USA</w:t>
      </w:r>
    </w:p>
    <w:p w:rsidR="002A7F02" w:rsidRPr="00FA37C2" w:rsidRDefault="002A7F02" w:rsidP="001B28E2">
      <w:pPr>
        <w:pBdr>
          <w:top w:val="single" w:sz="4" w:space="1" w:color="auto"/>
          <w:left w:val="single" w:sz="4" w:space="4" w:color="auto"/>
          <w:bottom w:val="single" w:sz="4" w:space="1" w:color="auto"/>
          <w:right w:val="single" w:sz="4" w:space="4" w:color="auto"/>
        </w:pBdr>
        <w:shd w:val="clear" w:color="auto" w:fill="A6A6A6" w:themeFill="background1" w:themeFillShade="A6"/>
        <w:ind w:firstLine="708"/>
        <w:jc w:val="both"/>
        <w:rPr>
          <w:rFonts w:ascii="Arial Narrow" w:hAnsi="Arial Narrow"/>
        </w:rPr>
      </w:pPr>
      <w:r w:rsidRPr="00FA37C2">
        <w:rPr>
          <w:rFonts w:ascii="Arial Narrow" w:hAnsi="Arial Narrow"/>
          <w:lang w:val="en-US"/>
        </w:rPr>
        <w:t>ATOL</w:t>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Pr="00FA37C2">
        <w:rPr>
          <w:rFonts w:ascii="Arial Narrow" w:hAnsi="Arial Narrow"/>
          <w:lang w:val="en-US"/>
        </w:rPr>
        <w:tab/>
      </w:r>
      <w:r w:rsidR="001B28E2" w:rsidRPr="00FA37C2">
        <w:rPr>
          <w:rFonts w:ascii="Arial Narrow" w:hAnsi="Arial Narrow"/>
          <w:lang w:val="en-US"/>
        </w:rPr>
        <w:tab/>
      </w:r>
      <w:r w:rsidR="001B28E2" w:rsidRPr="00FA37C2">
        <w:rPr>
          <w:rFonts w:ascii="Arial Narrow" w:hAnsi="Arial Narrow"/>
          <w:lang w:val="en-US"/>
        </w:rPr>
        <w:tab/>
      </w:r>
      <w:r w:rsidRPr="00FA37C2">
        <w:rPr>
          <w:rFonts w:ascii="Arial Narrow" w:hAnsi="Arial Narrow"/>
        </w:rPr>
        <w:t>France</w:t>
      </w:r>
    </w:p>
    <w:p w:rsidR="002A7F02" w:rsidRPr="00FA37C2" w:rsidRDefault="002A7F02" w:rsidP="001B28E2">
      <w:pPr>
        <w:pBdr>
          <w:top w:val="single" w:sz="4" w:space="1" w:color="auto"/>
          <w:left w:val="single" w:sz="4" w:space="4" w:color="auto"/>
          <w:bottom w:val="single" w:sz="4" w:space="1" w:color="auto"/>
          <w:right w:val="single" w:sz="4" w:space="4" w:color="auto"/>
        </w:pBdr>
        <w:ind w:firstLine="708"/>
        <w:jc w:val="both"/>
        <w:rPr>
          <w:rFonts w:ascii="Arial Narrow" w:hAnsi="Arial Narrow"/>
        </w:rPr>
      </w:pPr>
      <w:r w:rsidRPr="00FA37C2">
        <w:rPr>
          <w:rFonts w:ascii="Arial Narrow" w:hAnsi="Arial Narrow"/>
        </w:rPr>
        <w:t>ALTO</w:t>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Pr="00FA37C2">
        <w:rPr>
          <w:rFonts w:ascii="Arial Narrow" w:hAnsi="Arial Narrow"/>
        </w:rPr>
        <w:tab/>
      </w:r>
      <w:r w:rsidR="001B28E2" w:rsidRPr="00FA37C2">
        <w:rPr>
          <w:rFonts w:ascii="Arial Narrow" w:hAnsi="Arial Narrow"/>
        </w:rPr>
        <w:tab/>
      </w:r>
      <w:r w:rsidR="001B28E2" w:rsidRPr="00FA37C2">
        <w:rPr>
          <w:rFonts w:ascii="Arial Narrow" w:hAnsi="Arial Narrow"/>
        </w:rPr>
        <w:tab/>
      </w:r>
      <w:r w:rsidRPr="00FA37C2">
        <w:rPr>
          <w:rFonts w:ascii="Arial Narrow" w:hAnsi="Arial Narrow"/>
        </w:rPr>
        <w:t>USA</w:t>
      </w:r>
    </w:p>
    <w:p w:rsidR="000D458D" w:rsidRPr="00FA37C2" w:rsidRDefault="000D458D" w:rsidP="000D458D">
      <w:pPr>
        <w:rPr>
          <w:rFonts w:ascii="Arial Narrow" w:hAnsi="Arial Narrow"/>
          <w:i/>
        </w:rPr>
      </w:pPr>
      <w:r w:rsidRPr="00FA37C2">
        <w:rPr>
          <w:rFonts w:ascii="Arial Narrow" w:hAnsi="Arial Narrow"/>
          <w:i/>
        </w:rPr>
        <w:t>*Avec le soutien du MO5 (Mouvement du 5 octobre)</w:t>
      </w:r>
    </w:p>
    <w:sectPr w:rsidR="000D458D" w:rsidRPr="00FA37C2" w:rsidSect="002230C9">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7D" w:rsidRDefault="0041707D" w:rsidP="006703D8">
      <w:pPr>
        <w:spacing w:after="0" w:line="240" w:lineRule="auto"/>
      </w:pPr>
      <w:r>
        <w:separator/>
      </w:r>
    </w:p>
  </w:endnote>
  <w:endnote w:type="continuationSeparator" w:id="0">
    <w:p w:rsidR="0041707D" w:rsidRDefault="0041707D" w:rsidP="00670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418"/>
      <w:docPartObj>
        <w:docPartGallery w:val="Page Numbers (Bottom of Page)"/>
        <w:docPartUnique/>
      </w:docPartObj>
    </w:sdtPr>
    <w:sdtContent>
      <w:p w:rsidR="007F4368" w:rsidRDefault="006703D8">
        <w:pPr>
          <w:pStyle w:val="Pieddepage"/>
          <w:jc w:val="center"/>
        </w:pPr>
        <w:r w:rsidRPr="006703D8">
          <w:fldChar w:fldCharType="begin"/>
        </w:r>
        <w:r w:rsidR="00394DEA">
          <w:instrText>PAGE   \* MERGEFORMAT</w:instrText>
        </w:r>
        <w:r w:rsidRPr="006703D8">
          <w:fldChar w:fldCharType="separate"/>
        </w:r>
        <w:r w:rsidR="00FA37C2" w:rsidRPr="00FA37C2">
          <w:rPr>
            <w:noProof/>
            <w:lang w:val="fr-FR"/>
          </w:rPr>
          <w:t>3</w:t>
        </w:r>
        <w:r>
          <w:rPr>
            <w:noProof/>
            <w:lang w:val="fr-FR"/>
          </w:rPr>
          <w:fldChar w:fldCharType="end"/>
        </w:r>
      </w:p>
    </w:sdtContent>
  </w:sdt>
  <w:p w:rsidR="007F4368" w:rsidRDefault="004170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7D" w:rsidRDefault="0041707D" w:rsidP="006703D8">
      <w:pPr>
        <w:spacing w:after="0" w:line="240" w:lineRule="auto"/>
      </w:pPr>
      <w:r>
        <w:separator/>
      </w:r>
    </w:p>
  </w:footnote>
  <w:footnote w:type="continuationSeparator" w:id="0">
    <w:p w:rsidR="0041707D" w:rsidRDefault="0041707D" w:rsidP="00670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D08"/>
    <w:multiLevelType w:val="hybridMultilevel"/>
    <w:tmpl w:val="FD6CC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F954E5"/>
    <w:multiLevelType w:val="hybridMultilevel"/>
    <w:tmpl w:val="E74E1D4E"/>
    <w:lvl w:ilvl="0" w:tplc="163A1250">
      <w:start w:val="96"/>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CC0E08"/>
    <w:multiLevelType w:val="hybridMultilevel"/>
    <w:tmpl w:val="0A329466"/>
    <w:lvl w:ilvl="0" w:tplc="7FD6A03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4513C8C"/>
    <w:multiLevelType w:val="hybridMultilevel"/>
    <w:tmpl w:val="3D4009DC"/>
    <w:lvl w:ilvl="0" w:tplc="42A87A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4F711DA"/>
    <w:multiLevelType w:val="hybridMultilevel"/>
    <w:tmpl w:val="960E1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D6A2AB7"/>
    <w:multiLevelType w:val="hybridMultilevel"/>
    <w:tmpl w:val="EBDE2C2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2787E"/>
    <w:rsid w:val="000D458D"/>
    <w:rsid w:val="001B28E2"/>
    <w:rsid w:val="002A7F02"/>
    <w:rsid w:val="00340DAD"/>
    <w:rsid w:val="00394DEA"/>
    <w:rsid w:val="00397471"/>
    <w:rsid w:val="0041707D"/>
    <w:rsid w:val="006703D8"/>
    <w:rsid w:val="006E0D1A"/>
    <w:rsid w:val="0084482F"/>
    <w:rsid w:val="00896C5B"/>
    <w:rsid w:val="00B03C59"/>
    <w:rsid w:val="00CC30C8"/>
    <w:rsid w:val="00E2787E"/>
    <w:rsid w:val="00FA37C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87E"/>
    <w:pPr>
      <w:ind w:left="720"/>
      <w:contextualSpacing/>
    </w:pPr>
  </w:style>
  <w:style w:type="paragraph" w:styleId="Pieddepage">
    <w:name w:val="footer"/>
    <w:basedOn w:val="Normal"/>
    <w:link w:val="PieddepageCar"/>
    <w:uiPriority w:val="99"/>
    <w:unhideWhenUsed/>
    <w:rsid w:val="00E278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87E"/>
  </w:style>
  <w:style w:type="paragraph" w:styleId="Sansinterligne">
    <w:name w:val="No Spacing"/>
    <w:uiPriority w:val="99"/>
    <w:qFormat/>
    <w:rsid w:val="00E2787E"/>
    <w:pPr>
      <w:spacing w:after="0" w:line="240" w:lineRule="auto"/>
    </w:pPr>
    <w:rPr>
      <w:rFonts w:ascii="Calibri" w:eastAsia="Calibri" w:hAnsi="Calibri" w:cs="Times New Roman"/>
    </w:rPr>
  </w:style>
  <w:style w:type="table" w:styleId="Grilledutableau">
    <w:name w:val="Table Grid"/>
    <w:basedOn w:val="TableauNormal"/>
    <w:uiPriority w:val="59"/>
    <w:rsid w:val="00E2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7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1178</Words>
  <Characters>6480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dc:creator>
  <cp:lastModifiedBy>Senat</cp:lastModifiedBy>
  <cp:revision>10</cp:revision>
  <cp:lastPrinted>2014-11-02T10:15:00Z</cp:lastPrinted>
  <dcterms:created xsi:type="dcterms:W3CDTF">2014-11-02T10:08:00Z</dcterms:created>
  <dcterms:modified xsi:type="dcterms:W3CDTF">2014-11-02T13:14:00Z</dcterms:modified>
</cp:coreProperties>
</file>